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Pr="003A6962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Международный</w:t>
            </w:r>
          </w:p>
          <w:p w:rsidR="00F92CCE" w:rsidRPr="002D35AD" w:rsidRDefault="002A049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43252F" w:rsidRPr="004325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исследовательский</w:t>
            </w:r>
            <w:r w:rsidR="00833FB3" w:rsidRPr="003A696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конкурс</w:t>
            </w:r>
          </w:p>
          <w:p w:rsidR="00B82876" w:rsidRPr="00F03D5C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CE3A46" w:rsidRPr="00490D40" w:rsidRDefault="00F92CCE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highlight w:val="yellow"/>
                <w:lang w:eastAsia="ru-RU"/>
              </w:rPr>
            </w:pPr>
            <w:r w:rsidRPr="001A70FE">
              <w:rPr>
                <w:color w:val="000000"/>
                <w:sz w:val="34"/>
                <w:szCs w:val="34"/>
                <w:lang w:eastAsia="ru-RU"/>
              </w:rPr>
              <w:t xml:space="preserve"> </w:t>
            </w:r>
            <w:r w:rsidR="006D25C3" w:rsidRPr="00490D40">
              <w:rPr>
                <w:rStyle w:val="a8"/>
                <w:rFonts w:ascii="Verdana" w:hAnsi="Verdana"/>
                <w:color w:val="00B004"/>
                <w:sz w:val="40"/>
                <w:szCs w:val="40"/>
                <w:shd w:val="clear" w:color="auto" w:fill="FFFFFF"/>
              </w:rPr>
              <w:t xml:space="preserve">НАУЧНЫЙ </w:t>
            </w:r>
            <w:r w:rsidR="00490D40" w:rsidRPr="00490D40">
              <w:rPr>
                <w:rStyle w:val="a8"/>
                <w:rFonts w:ascii="Verdana" w:hAnsi="Verdana"/>
                <w:color w:val="00B004"/>
                <w:sz w:val="40"/>
                <w:szCs w:val="40"/>
                <w:shd w:val="clear" w:color="auto" w:fill="FFFFFF"/>
              </w:rPr>
              <w:br/>
            </w:r>
            <w:r w:rsidR="006D25C3" w:rsidRPr="00490D40">
              <w:rPr>
                <w:rStyle w:val="a8"/>
                <w:rFonts w:ascii="Verdana" w:hAnsi="Verdana"/>
                <w:color w:val="00B004"/>
                <w:sz w:val="40"/>
                <w:szCs w:val="40"/>
                <w:shd w:val="clear" w:color="auto" w:fill="FFFFFF"/>
              </w:rPr>
              <w:t>ИМПУЛЬС - 2024</w:t>
            </w:r>
          </w:p>
          <w:p w:rsidR="002241B9" w:rsidRPr="00F03D5C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157AB7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6D25C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433</w:t>
            </w:r>
          </w:p>
          <w:p w:rsidR="00682510" w:rsidRPr="00F92CCE" w:rsidRDefault="006D25C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11</w:t>
            </w:r>
            <w:r w:rsidR="00DE18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A049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355" w:rsidRDefault="009D33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3252F" w:rsidRDefault="0043252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43252F" w:rsidRDefault="0043252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D25C3" w:rsidRPr="0043252F" w:rsidRDefault="006D25C3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9D3355" w:rsidRPr="008A1C30" w:rsidRDefault="009D33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  <w:p w:rsidR="00D57C3E" w:rsidRPr="0038224B" w:rsidRDefault="00D57C3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2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1. Педагогические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2. Психологические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3. Исторические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4. Филологические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5. Философские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6. Экономические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7. Юридические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8. Социологические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9. Технические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10. Информатика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11. Геолого-минералогические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12. Биологические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13. Химические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14. Физико-математические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15. Науки о Земле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16. Сельскохозяйственные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17. Медицинские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18. Фармацевтические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19. Ветеринарные науки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20. Искусствоведение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21. Культурология</w:t>
      </w:r>
    </w:p>
    <w:p w:rsidR="002A0495" w:rsidRPr="002A0495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22. Архитектура</w:t>
      </w:r>
    </w:p>
    <w:p w:rsidR="00894C52" w:rsidRDefault="002A0495" w:rsidP="002A049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495">
        <w:rPr>
          <w:rFonts w:ascii="Times New Roman" w:hAnsi="Times New Roman" w:cs="Times New Roman"/>
          <w:sz w:val="16"/>
          <w:szCs w:val="16"/>
        </w:rPr>
        <w:t>Секция 23. Теология</w:t>
      </w:r>
    </w:p>
    <w:p w:rsidR="00894C52" w:rsidRDefault="00894C52" w:rsidP="00875E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C52" w:rsidRPr="006B7AA6" w:rsidRDefault="00894C52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490D40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490D40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490D40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490D4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490D4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490D4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490D4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D97137" w:rsidP="00D97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9B278D" w:rsidRPr="001B501D" w:rsidRDefault="00D97137" w:rsidP="00D97137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D97137" w:rsidRPr="00D97137" w:rsidRDefault="00B86429" w:rsidP="00D97137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6D25C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11</w:t>
      </w:r>
      <w:r w:rsidR="00016CCF" w:rsidRPr="00016CC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 </w:t>
      </w:r>
      <w:r w:rsidR="002A0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сентября</w:t>
      </w:r>
      <w:r w:rsidR="00016CCF" w:rsidRPr="00016CC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 </w:t>
      </w:r>
      <w:r w:rsidR="00032D35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2024 г.</w:t>
      </w:r>
      <w:r w:rsidR="003D44CB"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(включительно) </w:t>
      </w:r>
      <w:r w:rsidRPr="00D97137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  <w:lang w:eastAsia="ru-RU"/>
        </w:rPr>
        <w:t>необходимо</w:t>
      </w:r>
      <w:r w:rsidR="00D9713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="00D97137" w:rsidRPr="00D97137">
        <w:rPr>
          <w:rFonts w:ascii="Times New Roman" w:hAnsi="Times New Roman" w:cs="Times New Roman"/>
          <w:sz w:val="18"/>
          <w:szCs w:val="18"/>
        </w:rPr>
        <w:t>выслать на</w:t>
      </w:r>
      <w:r w:rsidR="00D97137">
        <w:rPr>
          <w:rFonts w:ascii="Times New Roman" w:hAnsi="Times New Roman" w:cs="Times New Roman"/>
          <w:sz w:val="18"/>
          <w:szCs w:val="18"/>
        </w:rPr>
        <w:t xml:space="preserve"> почту</w:t>
      </w:r>
      <w:r w:rsidR="00D97137" w:rsidRPr="00D97137">
        <w:rPr>
          <w:rFonts w:ascii="Times New Roman" w:hAnsi="Times New Roman" w:cs="Times New Roman"/>
          <w:sz w:val="18"/>
          <w:szCs w:val="18"/>
        </w:rPr>
        <w:t> </w:t>
      </w:r>
      <w:hyperlink r:id="rId15" w:history="1">
        <w:r w:rsidR="00D97137" w:rsidRPr="00D97137">
          <w:rPr>
            <w:rStyle w:val="a3"/>
            <w:rFonts w:ascii="Times New Roman" w:hAnsi="Times New Roman" w:cs="Times New Roman"/>
            <w:sz w:val="18"/>
            <w:szCs w:val="18"/>
          </w:rPr>
          <w:t>new@sciencen.org</w:t>
        </w:r>
      </w:hyperlink>
      <w:r w:rsidR="00D97137" w:rsidRPr="00D97137">
        <w:rPr>
          <w:rFonts w:ascii="Times New Roman" w:hAnsi="Times New Roman" w:cs="Times New Roman"/>
          <w:sz w:val="18"/>
          <w:szCs w:val="18"/>
        </w:rPr>
        <w:t> три файла:</w:t>
      </w:r>
    </w:p>
    <w:p w:rsidR="00D97137" w:rsidRDefault="00D97137" w:rsidP="00D971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hAnsi="Times New Roman" w:cs="Times New Roman"/>
          <w:sz w:val="18"/>
          <w:szCs w:val="18"/>
        </w:rPr>
        <w:t xml:space="preserve">1. статью, оформленную в соответствии </w:t>
      </w:r>
      <w:r w:rsidRPr="00C21D35">
        <w:rPr>
          <w:rFonts w:ascii="Times New Roman" w:hAnsi="Times New Roman" w:cs="Times New Roman"/>
          <w:sz w:val="18"/>
          <w:szCs w:val="18"/>
        </w:rPr>
        <w:t>с </w:t>
      </w:r>
      <w:r w:rsidRPr="0070480A">
        <w:rPr>
          <w:rFonts w:ascii="Times New Roman" w:hAnsi="Times New Roman" w:cs="Times New Roman"/>
          <w:sz w:val="18"/>
          <w:szCs w:val="18"/>
        </w:rPr>
        <w:t>требованиями и образцом</w:t>
      </w:r>
      <w:r w:rsidRPr="00D97137">
        <w:rPr>
          <w:rFonts w:ascii="Times New Roman" w:hAnsi="Times New Roman" w:cs="Times New Roman"/>
          <w:sz w:val="18"/>
          <w:szCs w:val="18"/>
        </w:rPr>
        <w:br/>
        <w:t xml:space="preserve">2. </w:t>
      </w:r>
      <w:hyperlink r:id="rId16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заявку</w:t>
        </w:r>
      </w:hyperlink>
      <w:r w:rsidRPr="00D97137">
        <w:rPr>
          <w:rFonts w:ascii="Times New Roman" w:hAnsi="Times New Roman" w:cs="Times New Roman"/>
          <w:sz w:val="18"/>
          <w:szCs w:val="18"/>
        </w:rPr>
        <w:t xml:space="preserve"> (с</w:t>
      </w:r>
      <w:r w:rsidR="00D04BFB">
        <w:rPr>
          <w:rFonts w:ascii="Times New Roman" w:hAnsi="Times New Roman" w:cs="Times New Roman"/>
          <w:sz w:val="18"/>
          <w:szCs w:val="18"/>
        </w:rPr>
        <w:t xml:space="preserve">качать форму заявки можно здесь </w:t>
      </w:r>
      <w:hyperlink r:id="rId17" w:history="1">
        <w:r w:rsidRPr="004A13C3">
          <w:rPr>
            <w:rStyle w:val="a3"/>
            <w:rFonts w:ascii="Times New Roman" w:hAnsi="Times New Roman" w:cs="Times New Roman"/>
            <w:sz w:val="18"/>
            <w:szCs w:val="18"/>
          </w:rPr>
          <w:t>https://sciencen.org/nik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  <w:r w:rsidRPr="00D97137">
        <w:rPr>
          <w:rFonts w:ascii="Times New Roman" w:hAnsi="Times New Roman" w:cs="Times New Roman"/>
          <w:sz w:val="18"/>
          <w:szCs w:val="18"/>
        </w:rPr>
        <w:t xml:space="preserve"> </w:t>
      </w:r>
      <w:r w:rsidRPr="00D97137">
        <w:rPr>
          <w:rFonts w:ascii="Times New Roman" w:hAnsi="Times New Roman" w:cs="Times New Roman"/>
          <w:sz w:val="18"/>
          <w:szCs w:val="18"/>
        </w:rPr>
        <w:br/>
        <w:t>3. подтверждение </w:t>
      </w:r>
      <w:hyperlink r:id="rId18" w:tgtFrame="_blank" w:tooltip="DOCX файл, 107 KB" w:history="1">
        <w:r w:rsidRPr="00D97137">
          <w:rPr>
            <w:rStyle w:val="a3"/>
            <w:rFonts w:ascii="Times New Roman" w:hAnsi="Times New Roman" w:cs="Times New Roman"/>
            <w:sz w:val="18"/>
            <w:szCs w:val="18"/>
          </w:rPr>
          <w:t>оплаты</w:t>
        </w:r>
      </w:hyperlink>
      <w:r w:rsidRPr="00D97137">
        <w:rPr>
          <w:rFonts w:ascii="Times New Roman" w:hAnsi="Times New Roman" w:cs="Times New Roman"/>
          <w:sz w:val="18"/>
          <w:szCs w:val="18"/>
        </w:rPr>
        <w:t> (чек)</w:t>
      </w:r>
    </w:p>
    <w:p w:rsidR="00B86429" w:rsidRPr="00D97137" w:rsidRDefault="00B86429" w:rsidP="00D9713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97137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файлов:</w:t>
      </w:r>
      <w:r w:rsidR="00D97137">
        <w:rPr>
          <w:rFonts w:ascii="Times New Roman" w:hAnsi="Times New Roman" w:cs="Times New Roman"/>
          <w:sz w:val="18"/>
          <w:szCs w:val="18"/>
        </w:rPr>
        <w:br/>
      </w:r>
      <w:r w:rsidR="004D5D08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Код</w:t>
      </w:r>
      <w:r w:rsidR="00D1227D"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Pr="00D97137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D97137" w:rsidRDefault="00AF2CF2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6D25C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433</w:t>
      </w:r>
      <w:r w:rsidR="006621AD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B86429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Статья</w:t>
      </w:r>
    </w:p>
    <w:p w:rsidR="006C366B" w:rsidRPr="00D97137" w:rsidRDefault="006D25C3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НИК-433</w:t>
      </w:r>
      <w:r w:rsidR="006C366B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8948AF" w:rsidRPr="00D97137">
        <w:rPr>
          <w:rFonts w:ascii="Times New Roman" w:eastAsia="Times New Roman" w:hAnsi="Times New Roman" w:cs="Times New Roman"/>
          <w:noProof/>
          <w:sz w:val="18"/>
          <w:szCs w:val="18"/>
        </w:rPr>
        <w:t>Петров, Заявка</w:t>
      </w:r>
    </w:p>
    <w:p w:rsidR="006C366B" w:rsidRPr="00D97137" w:rsidRDefault="006D25C3" w:rsidP="00D9713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НИК-433</w:t>
      </w:r>
      <w:r w:rsidR="006C366B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="006C366B" w:rsidRPr="00D9713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Петров, Квитанция\Чек</w:t>
      </w:r>
    </w:p>
    <w:p w:rsidR="00ED35CB" w:rsidRDefault="00ED35CB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</w:pPr>
    </w:p>
    <w:p w:rsidR="00B86429" w:rsidRPr="00D97137" w:rsidRDefault="00B86429" w:rsidP="00D97137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D97137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="002F523D"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D97137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F03D5C"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016CC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br/>
      </w:r>
      <w:r w:rsidR="00AF2CF2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6D25C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433</w:t>
      </w:r>
      <w:r w:rsidR="002D6E90" w:rsidRPr="00D9713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и фамилию автора(ов).</w:t>
      </w:r>
    </w:p>
    <w:p w:rsidR="00B86429" w:rsidRPr="00D97137" w:rsidRDefault="00B86429" w:rsidP="00D9713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D9713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D97137" w:rsidP="001668C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br w:type="column"/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УСЛОВИЯ</w:t>
      </w: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4654BC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D97137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FB7F5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(рабочих) </w:t>
      </w:r>
      <w:r w:rsidR="007458A6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D97137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D97137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</w:pPr>
      <w:r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D97137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D9713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D97137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может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 w:rsidRPr="00D97137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</w:t>
      </w:r>
      <w:r w:rsidR="00A74A74" w:rsidRPr="001668C9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A74A74" w:rsidRPr="00D97137">
        <w:rPr>
          <w:rFonts w:ascii="Times New Roman" w:eastAsia="Times New Roman" w:hAnsi="Times New Roman" w:cs="Times New Roman"/>
          <w:noProof/>
          <w:sz w:val="17"/>
          <w:szCs w:val="17"/>
        </w:rPr>
        <w:t>оформляются справки</w:t>
      </w:r>
      <w:r w:rsidR="00ED199D" w:rsidRPr="00D97137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 публикации. </w:t>
      </w:r>
      <w:r w:rsidR="00ED199D" w:rsidRPr="00D97137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D97137" w:rsidRPr="00D97137" w:rsidRDefault="00D97137" w:rsidP="00D04BF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97137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D97137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D97137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D97137" w:rsidRPr="00D97137" w:rsidRDefault="00D97137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</w:p>
    <w:p w:rsidR="00D22835" w:rsidRPr="00D97137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D97137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Стоимость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035F8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Оргвзнос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035F83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016CCF" w:rsidP="00157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7</w:t>
            </w:r>
            <w:r w:rsidR="00157AB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9</w:t>
            </w:r>
            <w:r w:rsidR="00465ED5"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Электронный сборник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69739D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Размещение статьи в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Участие авторов до 5-</w:t>
            </w:r>
            <w:r w:rsidR="00465ED5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7"/>
                <w:szCs w:val="17"/>
                <w:lang w:val="en-US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Дополнит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ельные</w:t>
            </w:r>
            <w:proofErr w:type="spellEnd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  <w:lang w:val="en-US"/>
              </w:rPr>
              <w:t>услуги</w:t>
            </w:r>
            <w:proofErr w:type="spellEnd"/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Справка о принятии/публикации статьи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Сертификат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электронный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149 руб.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149 руб</w:t>
            </w:r>
            <w:r w:rsidRPr="00D97137">
              <w:rPr>
                <w:rFonts w:ascii="Times New Roman" w:hAnsi="Times New Roman" w:cs="Times New Roman"/>
                <w:color w:val="00B004"/>
                <w:sz w:val="17"/>
                <w:szCs w:val="17"/>
              </w:rPr>
              <w:t xml:space="preserve">. 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249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Перевод на </w:t>
            </w:r>
            <w:proofErr w:type="spell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анг</w:t>
            </w:r>
            <w:r w:rsidR="00A74A74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</w:t>
            </w:r>
            <w:proofErr w:type="gramStart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.я</w:t>
            </w:r>
            <w:proofErr w:type="gram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зык</w:t>
            </w:r>
            <w:proofErr w:type="spellEnd"/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450 руб.</w:t>
            </w:r>
          </w:p>
        </w:tc>
      </w:tr>
      <w:tr w:rsidR="00465ED5" w:rsidRPr="00D97137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A76D23" w:rsidRPr="00D97137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D97137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600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650 руб.</w:t>
            </w:r>
          </w:p>
        </w:tc>
      </w:tr>
      <w:tr w:rsidR="00465ED5" w:rsidRPr="00D97137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b/>
                <w:bCs/>
                <w:color w:val="00B004"/>
                <w:sz w:val="17"/>
                <w:szCs w:val="17"/>
              </w:rPr>
              <w:t>Бесплатно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Присвоение статье номера </w:t>
            </w:r>
            <w:hyperlink r:id="rId19" w:history="1">
              <w:r w:rsidRPr="00D97137">
                <w:rPr>
                  <w:rStyle w:val="a3"/>
                  <w:rFonts w:ascii="Times New Roman" w:hAnsi="Times New Roman" w:cs="Times New Roman"/>
                  <w:sz w:val="17"/>
                  <w:szCs w:val="17"/>
                  <w:lang w:val="en-US"/>
                </w:rPr>
                <w:t>DOI</w:t>
              </w:r>
            </w:hyperlink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и размещение </w:t>
            </w:r>
            <w:r w:rsidR="006C366B"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статьи в 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Crossref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950 руб.</w:t>
            </w:r>
          </w:p>
        </w:tc>
      </w:tr>
      <w:tr w:rsidR="00465ED5" w:rsidRPr="00D97137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D97137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971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1900 руб.</w:t>
            </w:r>
          </w:p>
        </w:tc>
      </w:tr>
    </w:tbl>
    <w:p w:rsidR="002D6E90" w:rsidRPr="007171E8" w:rsidRDefault="00D97137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br w:type="column"/>
      </w:r>
      <w:r w:rsidR="002D6E90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490D40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490D40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sectPr w:rsidR="00B86429" w:rsidRPr="00405AA9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16CCF"/>
    <w:rsid w:val="0002580C"/>
    <w:rsid w:val="00031C27"/>
    <w:rsid w:val="00031D85"/>
    <w:rsid w:val="00032D35"/>
    <w:rsid w:val="00035F83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20610"/>
    <w:rsid w:val="00133035"/>
    <w:rsid w:val="00135B83"/>
    <w:rsid w:val="00144BF1"/>
    <w:rsid w:val="00152B07"/>
    <w:rsid w:val="00157AB7"/>
    <w:rsid w:val="00161BB6"/>
    <w:rsid w:val="00162D97"/>
    <w:rsid w:val="0016497F"/>
    <w:rsid w:val="001668C9"/>
    <w:rsid w:val="00171389"/>
    <w:rsid w:val="00173C5E"/>
    <w:rsid w:val="00173CE4"/>
    <w:rsid w:val="00174B2C"/>
    <w:rsid w:val="00194F13"/>
    <w:rsid w:val="001A2464"/>
    <w:rsid w:val="001A4680"/>
    <w:rsid w:val="001A70FE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81424"/>
    <w:rsid w:val="002A0495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8224B"/>
    <w:rsid w:val="0038497B"/>
    <w:rsid w:val="00391BF9"/>
    <w:rsid w:val="00396261"/>
    <w:rsid w:val="00396320"/>
    <w:rsid w:val="003A6962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252F"/>
    <w:rsid w:val="00434CB9"/>
    <w:rsid w:val="00440BA5"/>
    <w:rsid w:val="004654BC"/>
    <w:rsid w:val="00465ED5"/>
    <w:rsid w:val="00484BC8"/>
    <w:rsid w:val="00485B79"/>
    <w:rsid w:val="00490D40"/>
    <w:rsid w:val="004922DB"/>
    <w:rsid w:val="00497582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956B8"/>
    <w:rsid w:val="005A1501"/>
    <w:rsid w:val="005A2FF2"/>
    <w:rsid w:val="005A7CCD"/>
    <w:rsid w:val="005B1959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1E9D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66B"/>
    <w:rsid w:val="006C3B89"/>
    <w:rsid w:val="006C50AF"/>
    <w:rsid w:val="006C54A8"/>
    <w:rsid w:val="006D070B"/>
    <w:rsid w:val="006D1D00"/>
    <w:rsid w:val="006D25C3"/>
    <w:rsid w:val="006D6121"/>
    <w:rsid w:val="006F0170"/>
    <w:rsid w:val="006F3A69"/>
    <w:rsid w:val="006F5E1B"/>
    <w:rsid w:val="0070480A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4E54"/>
    <w:rsid w:val="00873733"/>
    <w:rsid w:val="00875E38"/>
    <w:rsid w:val="00880ED7"/>
    <w:rsid w:val="00884050"/>
    <w:rsid w:val="00884D53"/>
    <w:rsid w:val="008948AF"/>
    <w:rsid w:val="00894C52"/>
    <w:rsid w:val="00894FD0"/>
    <w:rsid w:val="008A1C30"/>
    <w:rsid w:val="008A2F33"/>
    <w:rsid w:val="008A453D"/>
    <w:rsid w:val="008A59AB"/>
    <w:rsid w:val="008B5370"/>
    <w:rsid w:val="008E01E2"/>
    <w:rsid w:val="008E22AB"/>
    <w:rsid w:val="008E376D"/>
    <w:rsid w:val="008E5F5C"/>
    <w:rsid w:val="008E5FD2"/>
    <w:rsid w:val="008F256B"/>
    <w:rsid w:val="009057FB"/>
    <w:rsid w:val="00912FF4"/>
    <w:rsid w:val="00914183"/>
    <w:rsid w:val="009315CB"/>
    <w:rsid w:val="00934C25"/>
    <w:rsid w:val="009367D6"/>
    <w:rsid w:val="009621CF"/>
    <w:rsid w:val="00977E8F"/>
    <w:rsid w:val="00982B86"/>
    <w:rsid w:val="00983A24"/>
    <w:rsid w:val="00994CAD"/>
    <w:rsid w:val="00997A23"/>
    <w:rsid w:val="009A6944"/>
    <w:rsid w:val="009B206D"/>
    <w:rsid w:val="009B278D"/>
    <w:rsid w:val="009D1D49"/>
    <w:rsid w:val="009D3355"/>
    <w:rsid w:val="009D5753"/>
    <w:rsid w:val="009D5D64"/>
    <w:rsid w:val="009E1ECC"/>
    <w:rsid w:val="009E3907"/>
    <w:rsid w:val="009E613A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2784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21D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4BFB"/>
    <w:rsid w:val="00D06070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BFE"/>
    <w:rsid w:val="00D435AD"/>
    <w:rsid w:val="00D43FE8"/>
    <w:rsid w:val="00D445D4"/>
    <w:rsid w:val="00D44B24"/>
    <w:rsid w:val="00D57C3E"/>
    <w:rsid w:val="00D60C7F"/>
    <w:rsid w:val="00D70508"/>
    <w:rsid w:val="00D71626"/>
    <w:rsid w:val="00D805E3"/>
    <w:rsid w:val="00D96912"/>
    <w:rsid w:val="00D97137"/>
    <w:rsid w:val="00DA681C"/>
    <w:rsid w:val="00DB2475"/>
    <w:rsid w:val="00DB279A"/>
    <w:rsid w:val="00DE1833"/>
    <w:rsid w:val="00E230C7"/>
    <w:rsid w:val="00E50E31"/>
    <w:rsid w:val="00E51994"/>
    <w:rsid w:val="00E554FD"/>
    <w:rsid w:val="00E63D7E"/>
    <w:rsid w:val="00E728C7"/>
    <w:rsid w:val="00EA1144"/>
    <w:rsid w:val="00EA3B90"/>
    <w:rsid w:val="00EA5F4F"/>
    <w:rsid w:val="00EC05AD"/>
    <w:rsid w:val="00EC33EE"/>
    <w:rsid w:val="00ED199D"/>
    <w:rsid w:val="00ED35CB"/>
    <w:rsid w:val="00ED4420"/>
    <w:rsid w:val="00ED4B93"/>
    <w:rsid w:val="00ED6D09"/>
    <w:rsid w:val="00ED799F"/>
    <w:rsid w:val="00EE2013"/>
    <w:rsid w:val="00EE67A7"/>
    <w:rsid w:val="00EF1A37"/>
    <w:rsid w:val="00F02B90"/>
    <w:rsid w:val="00F03D5C"/>
    <w:rsid w:val="00F15085"/>
    <w:rsid w:val="00F154E8"/>
    <w:rsid w:val="00F25476"/>
    <w:rsid w:val="00F272A0"/>
    <w:rsid w:val="00F275FD"/>
    <w:rsid w:val="00F424B9"/>
    <w:rsid w:val="00F47F87"/>
    <w:rsid w:val="00F55ECC"/>
    <w:rsid w:val="00F630B4"/>
    <w:rsid w:val="00F635A4"/>
    <w:rsid w:val="00F70039"/>
    <w:rsid w:val="00F7137E"/>
    <w:rsid w:val="00F92CCE"/>
    <w:rsid w:val="00F96241"/>
    <w:rsid w:val="00FB1876"/>
    <w:rsid w:val="00FB7F52"/>
    <w:rsid w:val="00FC019E"/>
    <w:rsid w:val="00FC3D20"/>
    <w:rsid w:val="00FD4B26"/>
    <w:rsid w:val="00FD7A31"/>
    <w:rsid w:val="00FD7C3A"/>
    <w:rsid w:val="00FE7AB3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nik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4</cp:revision>
  <dcterms:created xsi:type="dcterms:W3CDTF">2024-06-11T09:49:00Z</dcterms:created>
  <dcterms:modified xsi:type="dcterms:W3CDTF">2024-06-25T09:20:00Z</dcterms:modified>
</cp:coreProperties>
</file>